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203F" w:rsidRPr="0040203F" w:rsidRDefault="0040203F" w:rsidP="0040203F">
      <w:r w:rsidRPr="0040203F">
        <w:t>Name</w:t>
      </w:r>
    </w:p>
    <w:p w:rsidR="0040203F" w:rsidRPr="0040203F" w:rsidRDefault="0040203F" w:rsidP="0040203F">
      <w:r w:rsidRPr="0040203F">
        <w:t>Tutor</w:t>
      </w:r>
    </w:p>
    <w:p w:rsidR="0040203F" w:rsidRPr="0040203F" w:rsidRDefault="0040203F" w:rsidP="0040203F">
      <w:r w:rsidRPr="0040203F">
        <w:t>Course Information</w:t>
      </w:r>
    </w:p>
    <w:p w:rsidR="0040203F" w:rsidRPr="0040203F" w:rsidRDefault="0040203F" w:rsidP="0040203F">
      <w:r w:rsidRPr="0040203F">
        <w:t>Date</w:t>
      </w:r>
    </w:p>
    <w:p w:rsidR="0040203F" w:rsidRPr="0040203F" w:rsidRDefault="0040203F" w:rsidP="0040203F">
      <w:pPr>
        <w:jc w:val="center"/>
      </w:pPr>
      <w:r w:rsidRPr="0040203F">
        <w:t>Ancient African History and European Imperialism Influences</w:t>
      </w:r>
    </w:p>
    <w:p w:rsidR="00496DF7" w:rsidRPr="0040203F" w:rsidRDefault="00496DF7" w:rsidP="0040203F">
      <w:pPr>
        <w:ind w:firstLine="720"/>
      </w:pPr>
      <w:r w:rsidRPr="0040203F">
        <w:t>Throughout history, African kings and queens have contributed in different ways to the continent. Queens such as Nzinga and Asanteewa motivated Africans in different parts of the continent to resist imperialist actions by Europeans. Queen Nzinga led military action against the Portuguese in modern-day Angola in the 17</w:t>
      </w:r>
      <w:r w:rsidRPr="0040203F">
        <w:rPr>
          <w:vertAlign w:val="superscript"/>
        </w:rPr>
        <w:t>th</w:t>
      </w:r>
      <w:r w:rsidRPr="0040203F">
        <w:t xml:space="preserve"> century while Queen Asanteewa led resistance in Ghana against the British in the early 20</w:t>
      </w:r>
      <w:r w:rsidRPr="0040203F">
        <w:rPr>
          <w:vertAlign w:val="superscript"/>
        </w:rPr>
        <w:t>th</w:t>
      </w:r>
      <w:r w:rsidRPr="0040203F">
        <w:t xml:space="preserve"> century. </w:t>
      </w:r>
      <w:r w:rsidR="00136380" w:rsidRPr="0040203F">
        <w:t>Kings like Shaka Zulu and Shabaka revolutionized warfare and foreign policy respectively. Shaka Zulu introduced standardized weapons and special tactics among the Bantu in the 19</w:t>
      </w:r>
      <w:r w:rsidR="00136380" w:rsidRPr="0040203F">
        <w:rPr>
          <w:vertAlign w:val="superscript"/>
        </w:rPr>
        <w:t>th</w:t>
      </w:r>
      <w:r w:rsidR="00136380" w:rsidRPr="0040203F">
        <w:t xml:space="preserve"> century</w:t>
      </w:r>
      <w:r w:rsidR="0040203F">
        <w:t xml:space="preserve"> (Green &amp; Ragsdale, 1996, p. 36)</w:t>
      </w:r>
      <w:r w:rsidR="00136380" w:rsidRPr="0040203F">
        <w:t>. King Shabaka developed expansionist policies which focused on clever actions to make rival kingdoms fight among each other for the benefit of his Kushite kingdom in modern Sudan. He influenced the thinking of future kings and queens as he showed that tact and long-term planning could be an effective tool for plans to expand a kingdom. King Akhenaton influenced the continent by establishing the first monotheistic religion and kingdom known in history. During his reign from 1352 to 1336 B.C, he taught the doctrine of one God and laid the foundations for monotheistic religions that emerged in later centuries throughout the continent</w:t>
      </w:r>
      <w:r w:rsidR="0040203F">
        <w:t xml:space="preserve"> (Green &amp; Ragsdale, 1996, p. 24)</w:t>
      </w:r>
      <w:r w:rsidR="00136380" w:rsidRPr="0040203F">
        <w:t xml:space="preserve">. King Mansa Musa </w:t>
      </w:r>
      <w:r w:rsidR="001004F4" w:rsidRPr="0040203F">
        <w:t xml:space="preserve">is among the most influential African leaders in history. He gained massive personal wealth and improved the economic value of his kingdom through trades of gold, salt and ivory. These were the most desirable commodities of the world at the time. His focus on trade created major trade routes which remained in existence </w:t>
      </w:r>
      <w:r w:rsidR="001004F4" w:rsidRPr="0040203F">
        <w:lastRenderedPageBreak/>
        <w:t>for many centuries after his death. These trade routes also influenced the shape of the continent as the borders of future kingdoms were partly based on the trade routes</w:t>
      </w:r>
      <w:r w:rsidR="0040203F">
        <w:t xml:space="preserve"> (Green &amp; Ragsdale, 1996, p. 29)</w:t>
      </w:r>
      <w:r w:rsidR="001004F4" w:rsidRPr="0040203F">
        <w:t>. These kings and queens are among the most influential leaders in African history, impacting the continent in different ways.</w:t>
      </w:r>
    </w:p>
    <w:p w:rsidR="00B412D2" w:rsidRPr="0040203F" w:rsidRDefault="00D564BC" w:rsidP="0040203F">
      <w:pPr>
        <w:ind w:firstLine="720"/>
      </w:pPr>
      <w:r w:rsidRPr="0040203F">
        <w:t>The scramble for Africa was influenced by political, economic and social factors. The social factors include industrialization, poverty</w:t>
      </w:r>
      <w:r w:rsidR="00D23987" w:rsidRPr="0040203F">
        <w:t>, unemployment and social displacement. The emergence of industrialization led to the major European nations seeking new sources of raw materials and guaranteed markets. Africa became the target for both raw materials and ready market. Major European nations scrambled for African territories because of the abundance of valuable items such as ivory, spices, gold, diamonds, and cocoa among others. The industrialization factor meant that the scramble for Africa was influenced by both social and economic needs. The European continent had started to experience social issues by the late 19</w:t>
      </w:r>
      <w:r w:rsidR="00D23987" w:rsidRPr="0040203F">
        <w:rPr>
          <w:vertAlign w:val="superscript"/>
        </w:rPr>
        <w:t>th</w:t>
      </w:r>
      <w:r w:rsidR="00D23987" w:rsidRPr="0040203F">
        <w:t xml:space="preserve"> century as it became evident that the new capitalist system favored by most nations could not accommodate all people</w:t>
      </w:r>
      <w:r w:rsidR="0040203F">
        <w:t xml:space="preserve"> (Iweriebor, 2011, p. 1)</w:t>
      </w:r>
      <w:r w:rsidR="00D23987" w:rsidRPr="0040203F">
        <w:t xml:space="preserve">. Poverty and unemployment characterized many nations throughout the continent, leading to governments deciding to re-settle the surplus population. Those who were unable to gain financial security in Europe had the option of moving to Africa and contributing to the economic and strategic projects of their home nations in different parts of Africa. </w:t>
      </w:r>
      <w:r w:rsidR="00A96D14" w:rsidRPr="0040203F">
        <w:t>Governments supported the establishment of settler colonies because they reinforced the image of their nations having power abroad through the acquisition of territories in Africa</w:t>
      </w:r>
      <w:r w:rsidR="0040203F">
        <w:t xml:space="preserve"> (Iweriebor, 2011, p. 2)</w:t>
      </w:r>
      <w:r w:rsidR="00A96D14" w:rsidRPr="0040203F">
        <w:t>. Britain and France retained their reputation as the two major powers of the 19</w:t>
      </w:r>
      <w:r w:rsidR="00A96D14" w:rsidRPr="0040203F">
        <w:rPr>
          <w:vertAlign w:val="superscript"/>
        </w:rPr>
        <w:t>th</w:t>
      </w:r>
      <w:r w:rsidR="00A96D14" w:rsidRPr="0040203F">
        <w:t xml:space="preserve"> century and early 20</w:t>
      </w:r>
      <w:r w:rsidR="00A96D14" w:rsidRPr="0040203F">
        <w:rPr>
          <w:vertAlign w:val="superscript"/>
        </w:rPr>
        <w:t>th</w:t>
      </w:r>
      <w:r w:rsidR="00A96D14" w:rsidRPr="0040203F">
        <w:t xml:space="preserve"> century by establish colonies throughout Africa. </w:t>
      </w:r>
    </w:p>
    <w:p w:rsidR="007F3814" w:rsidRPr="0040203F" w:rsidRDefault="00A96D14" w:rsidP="0040203F">
      <w:pPr>
        <w:ind w:firstLine="720"/>
      </w:pPr>
      <w:r w:rsidRPr="0040203F">
        <w:lastRenderedPageBreak/>
        <w:t xml:space="preserve">This imperialist movement was similar to the colonization of the Americas as it was influenced by similar political, economic and social interests. The colonization of the Americas was largely done by Britain, France, Spain and Portugal. These nations were motivated by the same social factors of unemployment, homelessness and social displacement. Indentured servants were sent in large numbers to modern day United States to relieve the population burden and to create new opportunities for citizens to earn incomes. The political factor was also evident as the nations were competing for power within European power circles and they sought to prove national preeminence. </w:t>
      </w:r>
      <w:r w:rsidR="00C83215" w:rsidRPr="0040203F">
        <w:t xml:space="preserve">The colonization of the Americas was similar in economic, political and social aspects to the colonization of Africa which began more than two centuries later. </w:t>
      </w:r>
    </w:p>
    <w:p w:rsidR="0040203F" w:rsidRDefault="0040203F" w:rsidP="0040203F">
      <w:pPr>
        <w:tabs>
          <w:tab w:val="left" w:pos="6150"/>
        </w:tabs>
        <w:jc w:val="center"/>
      </w:pPr>
    </w:p>
    <w:p w:rsidR="0040203F" w:rsidRDefault="0040203F" w:rsidP="0040203F">
      <w:pPr>
        <w:tabs>
          <w:tab w:val="left" w:pos="6150"/>
        </w:tabs>
        <w:jc w:val="center"/>
      </w:pPr>
    </w:p>
    <w:p w:rsidR="0040203F" w:rsidRDefault="0040203F" w:rsidP="0040203F">
      <w:pPr>
        <w:tabs>
          <w:tab w:val="left" w:pos="6150"/>
        </w:tabs>
        <w:jc w:val="center"/>
      </w:pPr>
    </w:p>
    <w:p w:rsidR="0040203F" w:rsidRDefault="0040203F" w:rsidP="0040203F">
      <w:pPr>
        <w:tabs>
          <w:tab w:val="left" w:pos="6150"/>
        </w:tabs>
        <w:jc w:val="center"/>
      </w:pPr>
    </w:p>
    <w:p w:rsidR="0040203F" w:rsidRDefault="0040203F" w:rsidP="0040203F">
      <w:pPr>
        <w:tabs>
          <w:tab w:val="left" w:pos="6150"/>
        </w:tabs>
        <w:jc w:val="center"/>
      </w:pPr>
    </w:p>
    <w:p w:rsidR="0040203F" w:rsidRDefault="0040203F" w:rsidP="0040203F">
      <w:pPr>
        <w:tabs>
          <w:tab w:val="left" w:pos="6150"/>
        </w:tabs>
        <w:jc w:val="center"/>
      </w:pPr>
    </w:p>
    <w:p w:rsidR="0040203F" w:rsidRDefault="0040203F" w:rsidP="0040203F">
      <w:pPr>
        <w:tabs>
          <w:tab w:val="left" w:pos="6150"/>
        </w:tabs>
        <w:jc w:val="center"/>
      </w:pPr>
    </w:p>
    <w:p w:rsidR="0040203F" w:rsidRDefault="0040203F" w:rsidP="0040203F">
      <w:pPr>
        <w:tabs>
          <w:tab w:val="left" w:pos="6150"/>
        </w:tabs>
        <w:jc w:val="center"/>
      </w:pPr>
    </w:p>
    <w:p w:rsidR="0040203F" w:rsidRDefault="0040203F" w:rsidP="0040203F">
      <w:pPr>
        <w:tabs>
          <w:tab w:val="left" w:pos="6150"/>
        </w:tabs>
        <w:jc w:val="center"/>
      </w:pPr>
    </w:p>
    <w:p w:rsidR="0040203F" w:rsidRDefault="0040203F" w:rsidP="0040203F">
      <w:pPr>
        <w:tabs>
          <w:tab w:val="left" w:pos="6150"/>
        </w:tabs>
        <w:jc w:val="center"/>
      </w:pPr>
    </w:p>
    <w:p w:rsidR="0040203F" w:rsidRDefault="0040203F" w:rsidP="0040203F">
      <w:pPr>
        <w:tabs>
          <w:tab w:val="left" w:pos="6150"/>
        </w:tabs>
        <w:jc w:val="center"/>
      </w:pPr>
    </w:p>
    <w:p w:rsidR="0040203F" w:rsidRDefault="0040203F" w:rsidP="0040203F">
      <w:pPr>
        <w:tabs>
          <w:tab w:val="left" w:pos="6150"/>
        </w:tabs>
        <w:jc w:val="center"/>
      </w:pPr>
    </w:p>
    <w:p w:rsidR="0040203F" w:rsidRDefault="0040203F" w:rsidP="0040203F">
      <w:pPr>
        <w:tabs>
          <w:tab w:val="left" w:pos="6150"/>
        </w:tabs>
        <w:jc w:val="center"/>
      </w:pPr>
    </w:p>
    <w:p w:rsidR="0040203F" w:rsidRDefault="0040203F" w:rsidP="0040203F">
      <w:pPr>
        <w:tabs>
          <w:tab w:val="left" w:pos="6150"/>
        </w:tabs>
        <w:jc w:val="center"/>
      </w:pPr>
    </w:p>
    <w:p w:rsidR="00FB2D57" w:rsidRPr="0040203F" w:rsidRDefault="00FB2D57" w:rsidP="0040203F">
      <w:pPr>
        <w:tabs>
          <w:tab w:val="left" w:pos="6150"/>
        </w:tabs>
        <w:jc w:val="center"/>
      </w:pPr>
      <w:r w:rsidRPr="0040203F">
        <w:lastRenderedPageBreak/>
        <w:t>Works Cited</w:t>
      </w:r>
    </w:p>
    <w:p w:rsidR="00FB2D57" w:rsidRPr="0040203F" w:rsidRDefault="00FB2D57" w:rsidP="0040203F">
      <w:pPr>
        <w:ind w:left="720" w:hanging="720"/>
        <w:rPr>
          <w:color w:val="222222"/>
          <w:shd w:val="clear" w:color="auto" w:fill="FFFFFF"/>
        </w:rPr>
      </w:pPr>
      <w:r w:rsidRPr="0040203F">
        <w:rPr>
          <w:color w:val="222222"/>
          <w:shd w:val="clear" w:color="auto" w:fill="FFFFFF"/>
        </w:rPr>
        <w:t>Green, Richard L., and Phyllis W. Ragsdale, eds. </w:t>
      </w:r>
      <w:r w:rsidRPr="0040203F">
        <w:rPr>
          <w:i/>
          <w:iCs/>
          <w:color w:val="222222"/>
          <w:shd w:val="clear" w:color="auto" w:fill="FFFFFF"/>
        </w:rPr>
        <w:t>A Salute to Historic African Kings and Queens</w:t>
      </w:r>
      <w:r w:rsidRPr="0040203F">
        <w:rPr>
          <w:color w:val="222222"/>
          <w:shd w:val="clear" w:color="auto" w:fill="FFFFFF"/>
        </w:rPr>
        <w:t xml:space="preserve">. Vol. 6. Empak Enterprises, 1996. </w:t>
      </w:r>
    </w:p>
    <w:p w:rsidR="00FB2D57" w:rsidRPr="0040203F" w:rsidRDefault="00FB2D57" w:rsidP="0040203F">
      <w:pPr>
        <w:ind w:left="720" w:hanging="720"/>
      </w:pPr>
      <w:r w:rsidRPr="0040203F">
        <w:rPr>
          <w:color w:val="222222"/>
          <w:shd w:val="clear" w:color="auto" w:fill="FFFFFF"/>
        </w:rPr>
        <w:t xml:space="preserve">Iweriebor, Ehiedu. </w:t>
      </w:r>
      <w:r w:rsidRPr="0040203F">
        <w:rPr>
          <w:i/>
          <w:color w:val="222222"/>
          <w:shd w:val="clear" w:color="auto" w:fill="FFFFFF"/>
        </w:rPr>
        <w:t>The Colonization of Africa</w:t>
      </w:r>
      <w:r w:rsidRPr="0040203F">
        <w:rPr>
          <w:color w:val="222222"/>
          <w:shd w:val="clear" w:color="auto" w:fill="FFFFFF"/>
        </w:rPr>
        <w:t>. Sch</w:t>
      </w:r>
      <w:r w:rsidR="0040203F" w:rsidRPr="0040203F">
        <w:rPr>
          <w:color w:val="222222"/>
          <w:shd w:val="clear" w:color="auto" w:fill="FFFFFF"/>
        </w:rPr>
        <w:t>omburg Center for Research in Black Culture, 2011.</w:t>
      </w:r>
    </w:p>
    <w:sectPr w:rsidR="00FB2D57" w:rsidRPr="0040203F"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146B" w:rsidRDefault="0042146B" w:rsidP="0040203F">
      <w:pPr>
        <w:spacing w:line="240" w:lineRule="auto"/>
      </w:pPr>
      <w:r>
        <w:separator/>
      </w:r>
    </w:p>
  </w:endnote>
  <w:endnote w:type="continuationSeparator" w:id="1">
    <w:p w:rsidR="0042146B" w:rsidRDefault="0042146B" w:rsidP="0040203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146B" w:rsidRDefault="0042146B" w:rsidP="0040203F">
      <w:pPr>
        <w:spacing w:line="240" w:lineRule="auto"/>
      </w:pPr>
      <w:r>
        <w:separator/>
      </w:r>
    </w:p>
  </w:footnote>
  <w:footnote w:type="continuationSeparator" w:id="1">
    <w:p w:rsidR="0042146B" w:rsidRDefault="0042146B" w:rsidP="0040203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712187"/>
      <w:docPartObj>
        <w:docPartGallery w:val="Page Numbers (Top of Page)"/>
        <w:docPartUnique/>
      </w:docPartObj>
    </w:sdtPr>
    <w:sdtContent>
      <w:p w:rsidR="0040203F" w:rsidRDefault="0040203F">
        <w:pPr>
          <w:pStyle w:val="Header"/>
          <w:jc w:val="right"/>
        </w:pPr>
        <w:r>
          <w:t xml:space="preserve">Surname </w:t>
        </w:r>
        <w:fldSimple w:instr=" PAGE   \* MERGEFORMAT ">
          <w:r>
            <w:rPr>
              <w:noProof/>
            </w:rPr>
            <w:t>4</w:t>
          </w:r>
        </w:fldSimple>
      </w:p>
    </w:sdtContent>
  </w:sdt>
  <w:p w:rsidR="0040203F" w:rsidRDefault="0040203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564BC"/>
    <w:rsid w:val="001004F4"/>
    <w:rsid w:val="00136380"/>
    <w:rsid w:val="0040203F"/>
    <w:rsid w:val="0042146B"/>
    <w:rsid w:val="00496DF7"/>
    <w:rsid w:val="006F4038"/>
    <w:rsid w:val="007B7D6E"/>
    <w:rsid w:val="007F3814"/>
    <w:rsid w:val="009B0259"/>
    <w:rsid w:val="00A96D14"/>
    <w:rsid w:val="00B412D2"/>
    <w:rsid w:val="00C83215"/>
    <w:rsid w:val="00D23987"/>
    <w:rsid w:val="00D564BC"/>
    <w:rsid w:val="00E354C1"/>
    <w:rsid w:val="00FA1F8A"/>
    <w:rsid w:val="00FB2D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203F"/>
    <w:pPr>
      <w:tabs>
        <w:tab w:val="center" w:pos="4680"/>
        <w:tab w:val="right" w:pos="9360"/>
      </w:tabs>
      <w:spacing w:line="240" w:lineRule="auto"/>
    </w:pPr>
  </w:style>
  <w:style w:type="character" w:customStyle="1" w:styleId="HeaderChar">
    <w:name w:val="Header Char"/>
    <w:basedOn w:val="DefaultParagraphFont"/>
    <w:link w:val="Header"/>
    <w:uiPriority w:val="99"/>
    <w:rsid w:val="0040203F"/>
  </w:style>
  <w:style w:type="paragraph" w:styleId="Footer">
    <w:name w:val="footer"/>
    <w:basedOn w:val="Normal"/>
    <w:link w:val="FooterChar"/>
    <w:uiPriority w:val="99"/>
    <w:semiHidden/>
    <w:unhideWhenUsed/>
    <w:rsid w:val="0040203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40203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708</Words>
  <Characters>4038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2018-10-25T20:57:00Z</dcterms:created>
  <dcterms:modified xsi:type="dcterms:W3CDTF">2018-10-25T20:57:00Z</dcterms:modified>
</cp:coreProperties>
</file>